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8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095"/>
        <w:gridCol w:w="330"/>
        <w:gridCol w:w="2010"/>
        <w:gridCol w:w="3705"/>
        <w:gridCol w:w="1800"/>
        <w:gridCol w:w="1725"/>
        <w:gridCol w:w="2250"/>
        <w:gridCol w:w="1170"/>
        <w:tblGridChange w:id="0">
          <w:tblGrid>
            <w:gridCol w:w="1095"/>
            <w:gridCol w:w="330"/>
            <w:gridCol w:w="2010"/>
            <w:gridCol w:w="3705"/>
            <w:gridCol w:w="1800"/>
            <w:gridCol w:w="1725"/>
            <w:gridCol w:w="2250"/>
            <w:gridCol w:w="1170"/>
          </w:tblGrid>
        </w:tblGridChange>
      </w:tblGrid>
      <w:tr>
        <w:trPr>
          <w:cantSplit w:val="0"/>
          <w:trHeight w:val="132" w:hRule="atLeast"/>
          <w:tblHeader w:val="0"/>
        </w:trPr>
        <w:tc>
          <w:tcPr>
            <w:shd w:fill="1c3140" w:val="clear"/>
          </w:tcPr>
          <w:p w:rsidR="00000000" w:rsidDel="00000000" w:rsidP="00000000" w:rsidRDefault="00000000" w:rsidRPr="00000000" w14:paraId="00000004">
            <w:pPr>
              <w:rPr>
                <w:rFonts w:ascii="Lato Light" w:cs="Lato Light" w:eastAsia="Lato Light" w:hAnsi="Lato Light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18"/>
                <w:szCs w:val="18"/>
                <w:rtl w:val="0"/>
              </w:rPr>
              <w:t xml:space="preserve">Topic Name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5">
            <w:pPr>
              <w:rPr>
                <w:rFonts w:ascii="Lato Light" w:cs="Lato Light" w:eastAsia="Lato Light" w:hAnsi="Lato Light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6">
            <w:pPr>
              <w:rPr>
                <w:rFonts w:ascii="Lato Light" w:cs="Lato Light" w:eastAsia="Lato Light" w:hAnsi="Lato Light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18"/>
                <w:szCs w:val="18"/>
                <w:rtl w:val="0"/>
              </w:rPr>
              <w:t xml:space="preserve">Skills Developed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7">
            <w:pPr>
              <w:rPr>
                <w:rFonts w:ascii="Lato Light" w:cs="Lato Light" w:eastAsia="Lato Light" w:hAnsi="Lato Light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18"/>
                <w:szCs w:val="18"/>
                <w:rtl w:val="0"/>
              </w:rPr>
              <w:t xml:space="preserve">Link to National Curriculum Subject Content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8">
            <w:pPr>
              <w:rPr>
                <w:rFonts w:ascii="Lato Light" w:cs="Lato Light" w:eastAsia="Lato Light" w:hAnsi="Lato Light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18"/>
                <w:szCs w:val="18"/>
                <w:rtl w:val="0"/>
              </w:rPr>
              <w:t xml:space="preserve">Essential knowledge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9">
            <w:pPr>
              <w:rPr>
                <w:rFonts w:ascii="Lato Light" w:cs="Lato Light" w:eastAsia="Lato Light" w:hAnsi="Lato Light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18"/>
                <w:szCs w:val="18"/>
                <w:rtl w:val="0"/>
              </w:rPr>
              <w:t xml:space="preserve">Next link in WKGS curriculum 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A">
            <w:pPr>
              <w:rPr>
                <w:rFonts w:ascii="Lato Light" w:cs="Lato Light" w:eastAsia="Lato Light" w:hAnsi="Lato Light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18"/>
                <w:szCs w:val="18"/>
                <w:rtl w:val="0"/>
              </w:rPr>
              <w:t xml:space="preserve">Link to KS2 National Curriculum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B">
            <w:pPr>
              <w:rPr>
                <w:rFonts w:ascii="Lato Light" w:cs="Lato Light" w:eastAsia="Lato Light" w:hAnsi="Lato Light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18"/>
                <w:szCs w:val="18"/>
                <w:rtl w:val="0"/>
              </w:rPr>
              <w:t xml:space="preserve">Other Notes</w:t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Intro unit linked to outreach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Lato Light" w:cs="Lato Light" w:eastAsia="Lato Light" w:hAnsi="Lato Light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u w:val="single"/>
                <w:rtl w:val="0"/>
              </w:rPr>
              <w:t xml:space="preserve">Oracy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5"/>
              </w:numPr>
              <w:ind w:left="72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Confidence in formal public speaking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5"/>
              </w:numPr>
              <w:ind w:left="72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Ability to write to persuade effectively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Lato Light" w:cs="Lato Light" w:eastAsia="Lato Light" w:hAnsi="Lato Light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using Standard English confidently in a range of formal and informal contexts, including classroom discussion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Lato Light" w:cs="Lato Light" w:eastAsia="Lato Light" w:hAnsi="Lato Light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 giving short speeches and presentations, expressing their own ideas and keeping to the point 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Lato Light" w:cs="Lato Light" w:eastAsia="Lato Light" w:hAnsi="Lato Light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participating in formal debates and structured discussions, summarising and/or building on what has been said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Lato Light" w:cs="Lato Light" w:eastAsia="Lato Light" w:hAnsi="Lato Light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plan, draft, edit and proof-read through:  considering how their writing reflects the audiences and purposes for which it was intended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Lato Light" w:cs="Lato Light" w:eastAsia="Lato Light" w:hAnsi="Lato Light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using Standard English confidently in their own writing and speech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Audience</w:t>
            </w:r>
          </w:p>
          <w:p w:rsidR="00000000" w:rsidDel="00000000" w:rsidP="00000000" w:rsidRDefault="00000000" w:rsidRPr="00000000" w14:paraId="00000017">
            <w:p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purpose</w:t>
            </w:r>
          </w:p>
          <w:p w:rsidR="00000000" w:rsidDel="00000000" w:rsidP="00000000" w:rsidRDefault="00000000" w:rsidRPr="00000000" w14:paraId="00000018">
            <w:p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rhetorical devices</w:t>
            </w:r>
          </w:p>
          <w:p w:rsidR="00000000" w:rsidDel="00000000" w:rsidP="00000000" w:rsidRDefault="00000000" w:rsidRPr="00000000" w14:paraId="00000019">
            <w:p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pitch </w:t>
            </w:r>
          </w:p>
          <w:p w:rsidR="00000000" w:rsidDel="00000000" w:rsidP="00000000" w:rsidRDefault="00000000" w:rsidRPr="00000000" w14:paraId="0000001A">
            <w:p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gesture</w:t>
            </w:r>
          </w:p>
          <w:p w:rsidR="00000000" w:rsidDel="00000000" w:rsidP="00000000" w:rsidRDefault="00000000" w:rsidRPr="00000000" w14:paraId="0000001B">
            <w:p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1C">
            <w:p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Counter argument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Year 9 Sunmmer- Danger of a Single Story - study of speeches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20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identifying the audience for and purpose of the writing, selecting the appropriate form and using other similar writing as models for their own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0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speak audibly and fluently with an increasing command of Standard English  participate in discussions, presentations, performances, role play, improvisations and debates  gain,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0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 maintain and monitor the interest of the listener(s)  consider and evaluate different viewpoints, attending to and building on the contributions of others 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0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select and use appropriate registers for effective communication.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Pupils will take part in an interform debate</w:t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Novel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25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26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27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28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29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Lato Light" w:cs="Lato Light" w:eastAsia="Lato Light" w:hAnsi="Lato Light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u w:val="singl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Selecting and analysing evidence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Accurate paragraphing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Appreciation of writers’ choices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Develop an appreciation and love of reading, and read increasingly challenging material independently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Studying setting, plot, and characterisation, and the</w:t>
            </w: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ir effects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Discourse marker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Authorial intent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Y9 </w:t>
            </w: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Autumn Twisted Tales</w:t>
            </w: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Inferring feelings, thoughts and motives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Predicting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Identifying how language, structure and presentation contribute to meaning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25 mark-style essay:</w:t>
            </w:r>
          </w:p>
          <w:p w:rsidR="00000000" w:rsidDel="00000000" w:rsidP="00000000" w:rsidRDefault="00000000" w:rsidRPr="00000000" w14:paraId="00000037">
            <w:pPr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How is character/ theme presented throughout the novel</w:t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Lato Light" w:cs="Lato Light" w:eastAsia="Lato Light" w:hAnsi="Lato Light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u w:val="single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Register and tone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Format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Engaging the reader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Knowing how language, including figurative language, vocabulary choice, grammar, text structure and organisational features, presents meaning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write accurately, fluently, effectively and at length for pleasure and information through writing for a wide range of purposes and audiences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drawing on knowledge of literary and rhetorical devices from their reading and listening to enhance the impact of their writing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Register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Conventions of newspaper articles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Structure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Year 9 summer  Danger of a Single 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SPAG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17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Plan writing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7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Identifying conventions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7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Discuss and evaluate how authors use language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7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Use and understand grammatical terminology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Newspaper article</w:t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Poetry linked to novel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Lato Light" w:cs="Lato Light" w:eastAsia="Lato Light" w:hAnsi="Lato Light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u w:val="singl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Make links across forms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Identify similarities and differences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Making inferences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English literature, both pre-1914 and contemporary, including prose, poetry and drama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knowing how language, including figurative language, vocabulary choice, grammar, text structure and organisational features, presents meaning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recognising a range of poetic conventions and understanding how these have been used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Poetic forms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Imagery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Y8 – poetry examination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(GCSE English Literature Component 1 and 2 – poetry Anthology and unseen poetry)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2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Wide range of poetry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2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Comparisons across [texts]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2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Discuss how authors use language to impact the reader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2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Identifying and discussing themes across a wide range of writing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Shakespeare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5F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60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61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62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3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Lato Light" w:cs="Lato Light" w:eastAsia="Lato Light" w:hAnsi="Lato Light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u w:val="singl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Accurate inference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Understanding historical traditions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Developing interpretations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Shakespeare (two plays)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Making inferences and referring to evidence in the text 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Understanding how the work of dramatists is communicated effectively through performance and how alternative staging allows for different interpretations of a play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Checking their understanding to make sure that what they have read makes sense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Soliloquy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Structure of play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Use of stage directions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Life and times of Shakespeare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Canon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Iambic pentameter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Prose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Verse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Year 9 spring</w:t>
            </w: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 –Shakespeare)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11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Wide range of fiction from literary heritage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11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Inferring character’s thoughts, feelings and motives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11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Making comparisons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11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Predicting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11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Discuss and evaluate how authors use language, considering impact on reader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25 mark- style essay:</w:t>
            </w:r>
          </w:p>
          <w:p w:rsidR="00000000" w:rsidDel="00000000" w:rsidP="00000000" w:rsidRDefault="00000000" w:rsidRPr="00000000" w14:paraId="0000007B">
            <w:pPr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How does [a character] change throughout the play?</w:t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Lato Light" w:cs="Lato Light" w:eastAsia="Lato Light" w:hAnsi="Lato Light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u w:val="single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Controlling techniques to create effect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Cohesive structure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Wide ranging vocabulary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Summarising and organising material, and supporting ideas and arguments with any necessary factual details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Applying their growing knowledge of vocabulary, grammar and text structure to their writing and selecting the appropriate form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amending the vocabulary, grammar and structure of their writing to improve its coherence and overall effectiveness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drawing on new vocabulary and grammatical constructions from their reading and listening, and using these consciously in their writing and speech to achieve particular effects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Cohesion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Active and passive voices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Discourse markers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Year 9 Autumn- Danger of a Single 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SPAG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10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Plan their writing, identifying the audience for and purpose of the writing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10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Noting and developing initial ideas, drawing on reading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10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Selecting appropriate grammar and vocabulary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10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Build cohesion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10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Assessing the effectiveness of writing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10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Ensuring consistent and correct use of tense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10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Ensuring subject and verb agreement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10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Proofread for SPaG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Island description</w:t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096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EXAMINATION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98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99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9A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9B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9C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Lato Light" w:cs="Lato Light" w:eastAsia="Lato Light" w:hAnsi="Lato Light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u w:val="singl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Understand effects of structure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Explore features used by a range of writers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Reader response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English literature, both pre-1914 and contemporary, including prose, poetry and drama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knowing how language, including figurative language, vocabulary choice, grammar, text structure and organisational features, presents meaning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recognising a range of poetic conventions and understanding how these have been used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Relevant poetic forms and conventions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Assonance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Consonance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Half rhyme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Enjambment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Onomatopoeia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Personification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GCSE English Literature component 1 and 2 – poetry anthology and unseen poetry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18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Wide range of poetry</w:t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18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Identifying themes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18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Discuss and evaluate how  authors use language</w:t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18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Identifying how language, structure and presentation contribute to meaning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 poetry analysis</w:t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The Apprentice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Lato Light" w:cs="Lato Light" w:eastAsia="Lato Light" w:hAnsi="Lato Light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u w:val="single"/>
                <w:rtl w:val="0"/>
              </w:rPr>
              <w:t xml:space="preserve">Writing &amp; Spoken language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Producing texts specific to audience, purpose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Variety of group roles and speech types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Craft expression to suit context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Using Standard English confidently in a range of formal and informal contexts, including classroom discussion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Giving short speeches and presentations, expressing their own ideas and keeping to the point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Write accurately, fluently, effectively and at length for pleasure and information through stories, scripts, poetry and other imaginative writing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Rhetorical devices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Persuasive writing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Media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Year 9 summer - Danger of a single story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(GCSE English Language Component 3 – spoken language endorsement assessment)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numPr>
                <w:ilvl w:val="0"/>
                <w:numId w:val="1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Participate in discussions</w:t>
            </w:r>
          </w:p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1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Formal presentations and debates</w:t>
            </w:r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1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Predicting</w:t>
            </w:r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1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inferring</w:t>
            </w:r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1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Wide range of non-fiction</w:t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1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Plan writing</w:t>
            </w:r>
          </w:p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1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Noting and developing initial ideas, drawing on research</w:t>
            </w:r>
          </w:p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1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Perform compositions</w:t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1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Assessing effectiveness</w:t>
            </w:r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1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Understand how choices can change and enhance meaning</w:t>
            </w:r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1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Structure texts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Lato Light" w:cs="Lato Light" w:eastAsia="Lato Light" w:hAnsi="Lato Light"/>
                <w:sz w:val="18"/>
                <w:szCs w:val="18"/>
              </w:rPr>
            </w:pPr>
            <w:bookmarkStart w:colFirst="0" w:colLast="0" w:name="_heading=h.edoy2lrnhc1f" w:id="0"/>
            <w:bookmarkEnd w:id="0"/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Spoken language – team presentation</w:t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Reading lessons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ALL YEAR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Lato Light" w:cs="Lato Light" w:eastAsia="Lato Light" w:hAnsi="Lato Light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u w:val="single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Independent reading and study skills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Love of reading and literature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Choosing and reading books independently for challenge, interest and enjoyment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Develop an appreciation and love of reading, and read increasingly challenging material independently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Write accurately, fluently, effectively and at length for pleasure and information through stories, scripts, poetry and other imaginative writing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Re-reading books encountered earlier to increase familiarity with them and provide a basis for making comparisons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numPr>
                <w:ilvl w:val="0"/>
                <w:numId w:val="9"/>
              </w:numPr>
              <w:spacing w:line="259" w:lineRule="auto"/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(GCSE English Language component 1 – creative and imaginative writing/ narrative writing)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000000"/>
                <w:sz w:val="18"/>
                <w:szCs w:val="18"/>
                <w:rtl w:val="0"/>
              </w:rPr>
              <w:t xml:space="preserve">SPAG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19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Positive attitudes to reading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19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Wide range of texts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19"/>
              </w:numPr>
              <w:ind w:left="36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Recommending books to peers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Also linked to KS3 Creative Writing Competition – half termly in reading lessons</w:t>
            </w:r>
          </w:p>
        </w:tc>
      </w:tr>
    </w:tbl>
    <w:p w:rsidR="00000000" w:rsidDel="00000000" w:rsidP="00000000" w:rsidRDefault="00000000" w:rsidRPr="00000000" w14:paraId="000000DB">
      <w:pPr>
        <w:rPr>
          <w:rFonts w:ascii="Lato Light" w:cs="Lato Light" w:eastAsia="Lato Light" w:hAnsi="Lato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Lato Light" w:cs="Lato Light" w:eastAsia="Lato Light" w:hAnsi="Lato Light"/>
          <w:sz w:val="18"/>
          <w:szCs w:val="18"/>
          <w:u w:val="single"/>
        </w:rPr>
      </w:pPr>
      <w:r w:rsidDel="00000000" w:rsidR="00000000" w:rsidRPr="00000000">
        <w:rPr>
          <w:rFonts w:ascii="Lato Light" w:cs="Lato Light" w:eastAsia="Lato Light" w:hAnsi="Lato Light"/>
          <w:sz w:val="18"/>
          <w:szCs w:val="18"/>
          <w:u w:val="single"/>
          <w:rtl w:val="0"/>
        </w:rPr>
        <w:t xml:space="preserve">Spoken language</w:t>
      </w:r>
    </w:p>
    <w:p w:rsidR="00000000" w:rsidDel="00000000" w:rsidP="00000000" w:rsidRDefault="00000000" w:rsidRPr="00000000" w14:paraId="000000DD">
      <w:pPr>
        <w:rPr>
          <w:rFonts w:ascii="Lato Light" w:cs="Lato Light" w:eastAsia="Lato Light" w:hAnsi="Lato Light"/>
          <w:sz w:val="18"/>
          <w:szCs w:val="18"/>
        </w:rPr>
      </w:pPr>
      <w:r w:rsidDel="00000000" w:rsidR="00000000" w:rsidRPr="00000000">
        <w:rPr>
          <w:rFonts w:ascii="Lato Light" w:cs="Lato Light" w:eastAsia="Lato Light" w:hAnsi="Lato Light"/>
          <w:sz w:val="18"/>
          <w:szCs w:val="18"/>
          <w:rtl w:val="0"/>
        </w:rPr>
        <w:t xml:space="preserve">There will be many opportunities during the course of the key stage to develop spoken language skills in a variety of lessons and tasks.</w:t>
      </w:r>
    </w:p>
    <w:sectPr>
      <w:headerReference r:id="rId8" w:type="default"/>
      <w:pgSz w:h="11906" w:w="16838" w:orient="landscape"/>
      <w:pgMar w:bottom="1440" w:top="153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a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Lato Light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Lato Black">
    <w:embedBold w:fontKey="{00000000-0000-0000-0000-000000000000}" r:id="rId10" w:subsetted="0"/>
    <w:embedBoldItalic w:fontKey="{00000000-0000-0000-0000-000000000000}" r:id="rId11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ind w:firstLine="3600"/>
      <w:rPr>
        <w:rFonts w:ascii="Lato Black" w:cs="Lato Black" w:eastAsia="Lato Black" w:hAnsi="Lato Black"/>
        <w:color w:val="000000"/>
        <w:sz w:val="32"/>
        <w:szCs w:val="32"/>
      </w:rPr>
    </w:pPr>
    <w:r w:rsidDel="00000000" w:rsidR="00000000" w:rsidRPr="00000000">
      <w:rPr>
        <w:rFonts w:ascii="Lato Black" w:cs="Lato Black" w:eastAsia="Lato Black" w:hAnsi="Lato Black"/>
        <w:color w:val="000000"/>
        <w:sz w:val="32"/>
        <w:szCs w:val="32"/>
        <w:rtl w:val="0"/>
      </w:rPr>
      <w:t xml:space="preserve">Curriculum Map </w:t>
    </w:r>
    <w:r w:rsidDel="00000000" w:rsidR="00000000" w:rsidRPr="00000000">
      <w:rPr>
        <w:rFonts w:ascii="Lato Light" w:cs="Lato Light" w:eastAsia="Lato Light" w:hAnsi="Lato Light"/>
        <w:color w:val="000000"/>
        <w:sz w:val="32"/>
        <w:szCs w:val="32"/>
        <w:rtl w:val="0"/>
      </w:rPr>
      <w:t xml:space="preserve">– Year 8 - English</w:t>
    </w: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;text-align:left;margin-left:-7.95pt;margin-top:-19.95pt;width:179.15pt;height:60.4pt;z-index:-251658240;mso-position-horizontal:absolute;mso-position-horizontal-relative:margin;mso-position-vertical:absolute;mso-position-vertical-relative:text;mso-width-relative:page;mso-height-relative:page" type="#_x0000_t75">
          <v:imagedata r:id="rId1" o:title="Logo Landscape"/>
          <w10:wrap/>
        </v:shape>
      </w:pic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2755900</wp:posOffset>
              </wp:positionH>
              <wp:positionV relativeFrom="paragraph">
                <wp:posOffset>-444499</wp:posOffset>
              </wp:positionV>
              <wp:extent cx="7014417" cy="731431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1848317" y="342381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2755900</wp:posOffset>
              </wp:positionH>
              <wp:positionV relativeFrom="paragraph">
                <wp:posOffset>-444499</wp:posOffset>
              </wp:positionV>
              <wp:extent cx="7014417" cy="731431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4417" cy="73143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Lato-regular.ttf"/><Relationship Id="rId3" Type="http://schemas.openxmlformats.org/officeDocument/2006/relationships/font" Target="fonts/Lato-bold.ttf"/><Relationship Id="rId4" Type="http://schemas.openxmlformats.org/officeDocument/2006/relationships/font" Target="fonts/Lato-italic.ttf"/><Relationship Id="rId11" Type="http://schemas.openxmlformats.org/officeDocument/2006/relationships/font" Target="fonts/LatoBlack-boldItalic.ttf"/><Relationship Id="rId10" Type="http://schemas.openxmlformats.org/officeDocument/2006/relationships/font" Target="fonts/LatoBlack-bold.ttf"/><Relationship Id="rId9" Type="http://schemas.openxmlformats.org/officeDocument/2006/relationships/font" Target="fonts/LatoLight-boldItalic.ttf"/><Relationship Id="rId5" Type="http://schemas.openxmlformats.org/officeDocument/2006/relationships/font" Target="fonts/Lato-boldItalic.ttf"/><Relationship Id="rId6" Type="http://schemas.openxmlformats.org/officeDocument/2006/relationships/font" Target="fonts/LatoLight-regular.ttf"/><Relationship Id="rId7" Type="http://schemas.openxmlformats.org/officeDocument/2006/relationships/font" Target="fonts/LatoLight-bold.ttf"/><Relationship Id="rId8" Type="http://schemas.openxmlformats.org/officeDocument/2006/relationships/font" Target="fonts/LatoLight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K23m1mtE6wwA7YQPRD7kLW0pag==">AMUW2mUmOxOM+/j8wdwNblUGTp0AEZy3iLd16wuIkhakeJNKM/yWouf97K8NUThtgP0/vqUIuwyzTU4O6UVYm6aEMq0nb2Dp2Hh81borISHgYG7jjlByqZ6PF8dWAmkNqBKmZ5WnHZDa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2022-01-04T14:55:00Z</dcterms:created>
  <dc:creator>Miss D Williamson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0x010100021AC76C45404948AED075F1E38B77CA</vt:lpwstr>
  </property>
  <property fmtid="{D5CDD505-2E9C-101B-9397-08002B2CF9AE}" pid="3" name="_dlc_DocIdItemGuid">
    <vt:lpwstr>3ed0419e-fdbc-4d94-abbf-20d1eac5c615</vt:lpwstr>
  </property>
</Properties>
</file>