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0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555"/>
        <w:gridCol w:w="992"/>
        <w:gridCol w:w="3118"/>
        <w:gridCol w:w="4253"/>
        <w:gridCol w:w="3118"/>
        <w:gridCol w:w="1134"/>
        <w:tblGridChange w:id="0">
          <w:tblGrid>
            <w:gridCol w:w="1555"/>
            <w:gridCol w:w="992"/>
            <w:gridCol w:w="3118"/>
            <w:gridCol w:w="4253"/>
            <w:gridCol w:w="3118"/>
            <w:gridCol w:w="1134"/>
          </w:tblGrid>
        </w:tblGridChange>
      </w:tblGrid>
      <w:tr>
        <w:trPr>
          <w:cantSplit w:val="0"/>
          <w:trHeight w:val="132" w:hRule="atLeast"/>
          <w:tblHeader w:val="0"/>
        </w:trPr>
        <w:tc>
          <w:tcPr>
            <w:shd w:fill="1c3140" w:val="clear"/>
          </w:tcPr>
          <w:p w:rsidR="00000000" w:rsidDel="00000000" w:rsidP="00000000" w:rsidRDefault="00000000" w:rsidRPr="00000000" w14:paraId="00000002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Topic Name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3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4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Skills Developed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5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Link to NC Subject Content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6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Next link in curriculum 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7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Other Notes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NETBALL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Autumn/</w:t>
            </w:r>
          </w:p>
          <w:p w:rsidR="00000000" w:rsidDel="00000000" w:rsidP="00000000" w:rsidRDefault="00000000" w:rsidRPr="00000000" w14:paraId="0000000A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Passing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Dodging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Footwork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Creating 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Positions on court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Defending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Use a range of different passes developing strength and accuracy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Identifying different opportunities to dodge away from another player to create 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Developing the use of correct footwork in a game situation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Applying these skills to a game situation and recognising when to use different passes and different movement patterns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Lato Light" w:cs="Lato Light" w:eastAsia="Lato Light" w:hAnsi="Lato Ligh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GYMNASTICS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Autumn/</w:t>
            </w:r>
          </w:p>
          <w:p w:rsidR="00000000" w:rsidDel="00000000" w:rsidP="00000000" w:rsidRDefault="00000000" w:rsidRPr="00000000" w14:paraId="00000018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Focus on balancing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Individual, pairs, trio and group balances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Balances incorporated into sequences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Balances to show good control, body tension and duration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Guided discovery enables students to develop own balances, using different shapes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Counterbalance and supported-weight balances used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Group balances to include different linking movements in and out of balances safely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Links back to Yr7 gymnastics curriculum of travelling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Sequences developed to include balancing, linked with travelling movements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Jumps/Leaps in sequences can link to Yr9 curriculum of flight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Autumn/</w:t>
            </w:r>
          </w:p>
          <w:p w:rsidR="00000000" w:rsidDel="00000000" w:rsidP="00000000" w:rsidRDefault="00000000" w:rsidRPr="00000000" w14:paraId="00000026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sz w:val="20"/>
                <w:szCs w:val="20"/>
                <w:rtl w:val="0"/>
              </w:rPr>
              <w:t xml:space="preserve">Jive Dance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Partner work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Strong, dynamic movements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Counting in time with the music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Synchronisation with partner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Dance moves on the beat of the music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Partner formations used to structure a jive dance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Using the cues in the music, steps in the routine should follow a dynamic pattern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Develop musicality and knowledge of jive dance elements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Links to GCSE  dance specification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Development of rhythm and timing will contribute to other aesthetic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FITNESS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Autumn/</w:t>
            </w:r>
          </w:p>
          <w:p w:rsidR="00000000" w:rsidDel="00000000" w:rsidP="00000000" w:rsidRDefault="00000000" w:rsidRPr="00000000" w14:paraId="00000035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Components of fitness including;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Speed, cardiovascular endurance, muscular endurance, agility and power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Resilience and determination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Focus on improving each student’s fitness levels in order to support and challenge them in further PE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Developing knowledge of the importance of regular exercise and knowing the ability of your own body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Encourages determination and an innate effort to keep on going to achieve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Improved fitness will contribute to increased energy and effort levels in other topic areas in PE such as hockey and netball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HOCKEY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Autumn/</w:t>
            </w:r>
          </w:p>
          <w:p w:rsidR="00000000" w:rsidDel="00000000" w:rsidP="00000000" w:rsidRDefault="00000000" w:rsidRPr="00000000" w14:paraId="00000040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Passing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Tackling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Dribbling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Shooting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Small-sided games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Spatial awareness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Lato Light" w:cs="Lato Light" w:eastAsia="Lato Light" w:hAnsi="Lato Ligh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Development of some skills learned in Yr7 (passing/dribbling/tackling) and the use of these in a competitive situation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Introduction of more advanced skills such as shooting to apply to small-sided games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Continued development of spatial awareness and pass/shot selection in a game scenario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Previous links to skills learned in Yr7 and the progression of these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Further links to Yr9 hockey curriculum, increased size of match play and awareness of positioning on the pitch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ATHLETICS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Track and field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100m, 200m, 800m, Relay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Long Jump, Triple Jump, High Jump, Shot, Discus, Javelin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Measuring distances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Develop technique of different athletics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Challenge to improve on any scores/times gained in Yr7 Athletics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Gaining knowledge of correct technique of measuring jumps and throws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Record and keep track of own distances and times to allow for improvement in further attempts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Potential links to GCSE Athletics; times and measurements, technique and preparation/execution phase of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Links back to Yr7 Athletics where technique has been learned and now needs to be developed to improve their result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ROUNDERS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Bowling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Catching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Throwing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Batting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Fielding – backstop/outfield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Fielding on bases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Scoring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Development of knowledge of the game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Development of throwing and catching skills which will contribute to a better team performance in a game scenario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Continued development of batting technique and potential learning of advanced hitting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Knowledge of where to field the ball during a game to potentially get a batter 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Knowing when points should/should not be awarded during a game (knowledge of rules)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Links to Yr9 curriculum and improving batting, bowling and fielding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Development of tactics and awareness during a game to give your team an advantage and reduce the opposition’s chances of scoring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TENNIS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Forehand shots (return, volley)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Backhand shots (return, volley)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Serving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Scoring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Doubles/singles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Basic forehand and backhand shots learned in Yr7 now developed to improve accuracy and power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Development of serving can be learned here but only used in isolation for vast number of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Knowledge and understanding of scoring developed and difference between doubles and singles game play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Links from Yr7 tennis curriculum, development of simple skills to be used in a more competitive scenario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color w:val="000000"/>
                <w:sz w:val="20"/>
                <w:szCs w:val="20"/>
                <w:rtl w:val="0"/>
              </w:rPr>
              <w:t xml:space="preserve">Links to Yr9 with improved knowledge of scoring, tactics and match play for both doubles and singles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Lato Light" w:cs="Lato Light" w:eastAsia="Lato Light" w:hAnsi="Lato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" w:top="153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ind w:firstLine="3600"/>
      <w:rPr>
        <w:rFonts w:ascii="Lato Black" w:cs="Lato Black" w:eastAsia="Lato Black" w:hAnsi="Lato Black"/>
        <w:color w:val="000000"/>
        <w:sz w:val="32"/>
        <w:szCs w:val="32"/>
      </w:rPr>
    </w:pPr>
    <w:r w:rsidDel="00000000" w:rsidR="00000000" w:rsidRPr="00000000">
      <w:rPr>
        <w:rFonts w:ascii="Lato Black" w:cs="Lato Black" w:eastAsia="Lato Black" w:hAnsi="Lato Black"/>
        <w:color w:val="000000"/>
        <w:sz w:val="32"/>
        <w:szCs w:val="32"/>
        <w:rtl w:val="0"/>
      </w:rPr>
      <w:t xml:space="preserve">Curriculum Map </w:t>
    </w:r>
    <w:r w:rsidDel="00000000" w:rsidR="00000000" w:rsidRPr="00000000">
      <w:rPr>
        <w:rFonts w:ascii="Lato Light" w:cs="Lato Light" w:eastAsia="Lato Light" w:hAnsi="Lato Light"/>
        <w:color w:val="000000"/>
        <w:sz w:val="32"/>
        <w:szCs w:val="32"/>
        <w:rtl w:val="0"/>
      </w:rPr>
      <w:t xml:space="preserve">– Year 8 </w:t>
    </w:r>
    <w:r w:rsidDel="00000000" w:rsidR="00000000" w:rsidRPr="00000000">
      <w:rPr>
        <w:rFonts w:ascii="Lato Light" w:cs="Lato Light" w:eastAsia="Lato Light" w:hAnsi="Lato Light"/>
        <w:sz w:val="32"/>
        <w:szCs w:val="32"/>
        <w:rtl w:val="0"/>
      </w:rPr>
      <w:t xml:space="preserve">Physical Education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13337</wp:posOffset>
          </wp:positionH>
          <wp:positionV relativeFrom="paragraph">
            <wp:posOffset>-253363</wp:posOffset>
          </wp:positionV>
          <wp:extent cx="2275205" cy="76708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5205" cy="7670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