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122"/>
        <w:gridCol w:w="992"/>
        <w:gridCol w:w="2551"/>
        <w:gridCol w:w="4253"/>
        <w:gridCol w:w="2160"/>
        <w:gridCol w:w="2100"/>
        <w:tblGridChange w:id="0">
          <w:tblGrid>
            <w:gridCol w:w="2122"/>
            <w:gridCol w:w="992"/>
            <w:gridCol w:w="2551"/>
            <w:gridCol w:w="4253"/>
            <w:gridCol w:w="2160"/>
            <w:gridCol w:w="2100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Heating &amp; Cooling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Analyse patterns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conclusions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Construct explanations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heating and thermal equilibrium: temperature difference between 2 objects leading to energy transfer from the hotter to the cooler one, through contact (conduction) or radiation; such transfers tending to reduce the temperature difference; use of insulators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2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energy as a quantity that can be quantified and calculated; the total energy has the same value before and after a change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comparing the starting with the final conditions of a system and describing increases and decreases in the amounts of energy associated with movements,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b0c0c"/>
                <w:sz w:val="20"/>
                <w:szCs w:val="20"/>
                <w:rtl w:val="0"/>
              </w:rPr>
              <w:t xml:space="preserve">temperatures</w:t>
            </w: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, changes in positions in a field, in elastic distortions and in chemical compositions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using physical processes and mechanisms, rather than energy, to explain the intermediate steps that bring about such changes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Y9 Autumn – Density and Matter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Further links to KS4 -Y10 Topic 4 Internal Energy and Topic 5 Heating &amp; Infrared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The Universe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6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understand that scientific methods and theories develop as earlier explanations are modified to take account of new evidence and ideas, together with the importance of publishing results and peer review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6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understand and use SI units 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6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use simple equations and carry out appropriate calculations</w:t>
            </w:r>
          </w:p>
          <w:p w:rsidR="00000000" w:rsidDel="00000000" w:rsidP="00000000" w:rsidRDefault="00000000" w:rsidRPr="00000000" w14:paraId="00000023">
            <w:pPr>
              <w:pageBreakBefore w:val="0"/>
              <w:shd w:fill="ffffff" w:val="clear"/>
              <w:spacing w:after="75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gravity force, weight = mass x gravitational field strength (g), on Earth g=10 N/kg, different on other planets and stars; gravity forces between Earth and Moon, and between Earth and sun (qualitative only)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our sun as a star, other stars in our galaxy, other galaxies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the seasons and the Earth’s tilt, day length at different times of year, in different hemispheres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the light year as a unit of astronomical distance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Y11 Spring  - Space physics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Links from KS2: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P5.1 EARTH and SPACE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Lato" w:cs="Lato" w:eastAsia="Lato" w:hAnsi="Lato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Lato Light" w:cs="Lato Light" w:eastAsia="Lato Light" w:hAnsi="Lato Light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describe the movement of the Earth, and other planets, relative to the Sun in the solar system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Lato Light" w:cs="Lato Light" w:eastAsia="Lato Light" w:hAnsi="Lato Light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describe the movement of the Moon relative to the Earth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Lato Light" w:cs="Lato Light" w:eastAsia="Lato Light" w:hAnsi="Lato Light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describe the Sun, Earth and Moon as approximately spherical bodies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Lato Light" w:cs="Lato Light" w:eastAsia="Lato Light" w:hAnsi="Lato Light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the idea of the Earth’s rotation to explain day and night and the apparent movement of the sun across the sky.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Forces Extension Topic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h rubbing and friction between surfaces, with pushing things out of the way; resistance to motion of air and water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force-extension linear relation; Hooke’s Law as a special case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work done and energy changes on deformation</w:t>
            </w:r>
          </w:p>
          <w:p w:rsidR="00000000" w:rsidDel="00000000" w:rsidP="00000000" w:rsidRDefault="00000000" w:rsidRPr="00000000" w14:paraId="0000003A">
            <w:pPr>
              <w:pageBreakBefore w:val="0"/>
              <w:shd w:fill="ffffff" w:val="clear"/>
              <w:spacing w:after="75" w:lineRule="auto"/>
              <w:ind w:left="360" w:firstLine="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Pressure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3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atmospheric pressure, decreases with increase of height as weight of air above decreases with heightForces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="259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moment as the turning effect of a force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5"/>
              </w:numPr>
              <w:shd w:fill="ffffff" w:val="clear"/>
              <w:spacing w:after="75" w:lineRule="auto"/>
              <w:ind w:left="72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forces: associated with deforming objects; stretching and squashing – springs; wit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pressure in liquids, increasing with depth; upthrust effects, floating and sinking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hd w:fill="ffffff" w:val="clear"/>
              <w:spacing w:after="75" w:lineRule="auto"/>
              <w:ind w:left="300" w:hanging="36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0"/>
                <w:szCs w:val="20"/>
                <w:rtl w:val="0"/>
              </w:rPr>
              <w:t xml:space="preserve">pressure measured by ratio of force over area – acting normal to any surface</w:t>
            </w:r>
          </w:p>
          <w:p w:rsidR="00000000" w:rsidDel="00000000" w:rsidP="00000000" w:rsidRDefault="00000000" w:rsidRPr="00000000" w14:paraId="00000040">
            <w:pPr>
              <w:pageBreakBefore w:val="0"/>
              <w:shd w:fill="ffffff" w:val="clear"/>
              <w:spacing w:after="75" w:lineRule="auto"/>
              <w:ind w:left="360" w:firstLine="0"/>
              <w:rPr>
                <w:rFonts w:ascii="Arial" w:cs="Arial" w:eastAsia="Arial" w:hAnsi="Arial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Links from KS2:</w:t>
            </w:r>
          </w:p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P3.2 FORCES and MAGNETS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Lato Light" w:cs="Lato Light" w:eastAsia="Lato Light" w:hAnsi="Lato Light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compare how things move on different surfaces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Lato Light" w:cs="Lato Light" w:eastAsia="Lato Light" w:hAnsi="Lato Light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notice that some forces need contact between two objects, but magnetic forces can act at a distance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ind w:left="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8 - Subject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CcTx7S8qdewJVK6ikDSS9I0PA==">AMUW2mVpljcQsYQjyL1mDXJHMsla4ptK81FQGRlLVr/a3I4OCkqKuB+ty6KnAyb31zJsXoEfR+oznKyp2umURjrZ0tUpTgHaojh0eiKOBONHeQXtLUeGumRlKClUJ6Lvw9KRt9N/fUHB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2020-10-23T14:15:00Z</dcterms:created>
  <dc:creator>Mr S Clarke</dc:creator>
</cp:coreProperties>
</file>